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CAECA13" w14:textId="77777777" w:rsidR="008535D2" w:rsidRDefault="00636912" w:rsidP="00224AFA">
      <w:pPr>
        <w:spacing w:after="0"/>
        <w:jc w:val="center"/>
      </w:pPr>
      <w:r>
        <w:rPr>
          <w:b/>
          <w:color w:val="19716D"/>
          <w:sz w:val="44"/>
        </w:rPr>
        <w:t>From the Ground Up:</w:t>
      </w:r>
    </w:p>
    <w:p w14:paraId="588B2599" w14:textId="58E5CB9D" w:rsidR="008535D2" w:rsidRDefault="00636912" w:rsidP="00224AFA">
      <w:pPr>
        <w:spacing w:after="60"/>
        <w:jc w:val="center"/>
      </w:pPr>
      <w:r>
        <w:rPr>
          <w:color w:val="23232D"/>
          <w:sz w:val="32"/>
        </w:rPr>
        <w:t xml:space="preserve">Regenerative Farming, Living Soils, </w:t>
      </w:r>
      <w:r w:rsidR="00224AFA">
        <w:rPr>
          <w:color w:val="23232D"/>
          <w:sz w:val="32"/>
        </w:rPr>
        <w:t xml:space="preserve">                                                                                  A</w:t>
      </w:r>
      <w:r>
        <w:rPr>
          <w:color w:val="23232D"/>
          <w:sz w:val="32"/>
        </w:rPr>
        <w:t>nd the Climate Intervention</w:t>
      </w:r>
      <w:r w:rsidR="00215039">
        <w:rPr>
          <w:color w:val="23232D"/>
          <w:sz w:val="32"/>
        </w:rPr>
        <w:t xml:space="preserve"> </w:t>
      </w:r>
      <w:r>
        <w:rPr>
          <w:color w:val="23232D"/>
          <w:sz w:val="32"/>
        </w:rPr>
        <w:t>We Are Missing</w:t>
      </w:r>
    </w:p>
    <w:p w14:paraId="6D2E5198" w14:textId="23AA09AA" w:rsidR="008535D2" w:rsidRPr="001E78D5" w:rsidRDefault="004E7559" w:rsidP="000453E4">
      <w:pPr>
        <w:jc w:val="center"/>
        <w:rPr>
          <w:sz w:val="20"/>
          <w:szCs w:val="20"/>
        </w:rPr>
      </w:pPr>
      <w:r w:rsidRPr="001E78D5">
        <w:rPr>
          <w:i/>
          <w:color w:val="505050"/>
          <w:sz w:val="20"/>
          <w:szCs w:val="20"/>
        </w:rPr>
        <w:t>A call to the composting industry, municipal governments, academic institutions, NGO practitioners, and community partners to recognize regenerative farming and living soils as a priority climate response and to act on it.</w:t>
      </w:r>
    </w:p>
    <w:p w14:paraId="24FD2D74" w14:textId="77777777" w:rsidR="008535D2" w:rsidRPr="002E2B1B" w:rsidRDefault="00636912" w:rsidP="002E2B1B">
      <w:pPr>
        <w:jc w:val="center"/>
        <w:rPr>
          <w:i/>
          <w:iCs/>
        </w:rPr>
      </w:pPr>
      <w:r w:rsidRPr="002E2B1B">
        <w:rPr>
          <w:i/>
          <w:iCs/>
        </w:rPr>
        <w:t>Beneath every food system, watershed, forest, and community is a living biological system that sustains life itself. For generations, soil has too often been treated as inert material while the biology on which food security, water retention, biodiversity, and climate resilience depend has steadily declined. What is emerging through science, regenerative farming, and lived experience is both simple and profound: when soil is restored, ecosystems recover, communities strengthen, and resilience returns.</w:t>
      </w:r>
    </w:p>
    <w:p w14:paraId="1FC59116" w14:textId="77777777" w:rsidR="008535D2" w:rsidRDefault="00636912">
      <w:pPr>
        <w:spacing w:after="40"/>
      </w:pPr>
      <w:r>
        <w:rPr>
          <w:b/>
          <w:color w:val="19716D"/>
          <w:sz w:val="28"/>
        </w:rPr>
        <w:t>Living Soils: What Is at St</w:t>
      </w:r>
      <w:r w:rsidRPr="00154207">
        <w:rPr>
          <w:b/>
          <w:color w:val="19716F"/>
          <w:sz w:val="28"/>
        </w:rPr>
        <w:t>ak</w:t>
      </w:r>
      <w:r>
        <w:rPr>
          <w:b/>
          <w:color w:val="19716D"/>
          <w:sz w:val="28"/>
        </w:rPr>
        <w:t>e</w:t>
      </w:r>
    </w:p>
    <w:p w14:paraId="795BB994" w14:textId="77777777" w:rsidR="008535D2" w:rsidRDefault="00636912">
      <w:pPr>
        <w:spacing w:after="160"/>
      </w:pPr>
      <w:r>
        <w:t>Living Soils sits at the intersection of waste systems, soil science, food security, and climate policy, a space that is currently fragmented across sectors and underdeveloped as a coordinated intervention. Addressing it requires addressing all four simultaneously.</w:t>
      </w:r>
    </w:p>
    <w:tbl>
      <w:tblPr>
        <w:tblW w:w="0" w:type="auto"/>
        <w:jc w:val="center"/>
        <w:tblLook w:val="04A0" w:firstRow="1" w:lastRow="0" w:firstColumn="1" w:lastColumn="0" w:noHBand="0" w:noVBand="1"/>
      </w:tblPr>
      <w:tblGrid>
        <w:gridCol w:w="2592"/>
        <w:gridCol w:w="2592"/>
        <w:gridCol w:w="2592"/>
        <w:gridCol w:w="2592"/>
      </w:tblGrid>
      <w:tr w:rsidR="008535D2" w14:paraId="27C13F64" w14:textId="77777777">
        <w:trPr>
          <w:jc w:val="center"/>
        </w:trPr>
        <w:tc>
          <w:tcPr>
            <w:tcW w:w="2592" w:type="dxa"/>
            <w:shd w:val="clear" w:color="auto" w:fill="EAF5F3"/>
            <w:vAlign w:val="center"/>
          </w:tcPr>
          <w:p w14:paraId="4EEB52A2" w14:textId="77777777" w:rsidR="008535D2" w:rsidRDefault="00636912">
            <w:pPr>
              <w:jc w:val="center"/>
            </w:pPr>
            <w:r>
              <w:rPr>
                <w:b/>
                <w:color w:val="227263"/>
                <w:sz w:val="24"/>
              </w:rPr>
              <w:t>Climate</w:t>
            </w:r>
            <w:r>
              <w:rPr>
                <w:b/>
                <w:color w:val="227263"/>
                <w:sz w:val="24"/>
              </w:rPr>
              <w:br/>
              <w:t>Mitigation</w:t>
            </w:r>
          </w:p>
          <w:p w14:paraId="34CDF209" w14:textId="77777777" w:rsidR="008535D2" w:rsidRDefault="00636912">
            <w:pPr>
              <w:jc w:val="center"/>
            </w:pPr>
            <w:r>
              <w:rPr>
                <w:i/>
                <w:color w:val="505050"/>
                <w:sz w:val="19"/>
              </w:rPr>
              <w:t>Carbon sequestration, water retention, emissions reduction</w:t>
            </w:r>
          </w:p>
        </w:tc>
        <w:tc>
          <w:tcPr>
            <w:tcW w:w="2592" w:type="dxa"/>
            <w:shd w:val="clear" w:color="auto" w:fill="EAF5F3"/>
            <w:vAlign w:val="center"/>
          </w:tcPr>
          <w:p w14:paraId="5BCB0D4C" w14:textId="77777777" w:rsidR="008535D2" w:rsidRDefault="00636912">
            <w:pPr>
              <w:jc w:val="center"/>
            </w:pPr>
            <w:r>
              <w:rPr>
                <w:b/>
                <w:color w:val="227263"/>
                <w:sz w:val="24"/>
              </w:rPr>
              <w:t>Circular</w:t>
            </w:r>
            <w:r>
              <w:rPr>
                <w:b/>
                <w:color w:val="227263"/>
                <w:sz w:val="24"/>
              </w:rPr>
              <w:br/>
              <w:t>Economy</w:t>
            </w:r>
          </w:p>
          <w:p w14:paraId="17CA0822" w14:textId="77777777" w:rsidR="008535D2" w:rsidRDefault="00636912">
            <w:pPr>
              <w:jc w:val="center"/>
            </w:pPr>
            <w:r>
              <w:rPr>
                <w:i/>
                <w:color w:val="505050"/>
                <w:sz w:val="19"/>
              </w:rPr>
              <w:t>Organics in waste -&gt; soil: completing the biological cycle</w:t>
            </w:r>
          </w:p>
        </w:tc>
        <w:tc>
          <w:tcPr>
            <w:tcW w:w="2592" w:type="dxa"/>
            <w:shd w:val="clear" w:color="auto" w:fill="EAF5F3"/>
            <w:vAlign w:val="center"/>
          </w:tcPr>
          <w:p w14:paraId="3CA6CCEE" w14:textId="77777777" w:rsidR="008535D2" w:rsidRDefault="00636912">
            <w:pPr>
              <w:jc w:val="center"/>
            </w:pPr>
            <w:r>
              <w:rPr>
                <w:b/>
                <w:color w:val="227263"/>
                <w:sz w:val="24"/>
              </w:rPr>
              <w:t>Food</w:t>
            </w:r>
            <w:r>
              <w:rPr>
                <w:b/>
                <w:color w:val="227263"/>
                <w:sz w:val="24"/>
              </w:rPr>
              <w:br/>
              <w:t>Resilience</w:t>
            </w:r>
          </w:p>
          <w:p w14:paraId="6610925C" w14:textId="77777777" w:rsidR="008535D2" w:rsidRDefault="00636912">
            <w:pPr>
              <w:jc w:val="center"/>
            </w:pPr>
            <w:r>
              <w:rPr>
                <w:i/>
                <w:color w:val="505050"/>
                <w:sz w:val="19"/>
              </w:rPr>
              <w:t>Reduced chemical dependency, improved yields</w:t>
            </w:r>
          </w:p>
        </w:tc>
        <w:tc>
          <w:tcPr>
            <w:tcW w:w="2592" w:type="dxa"/>
            <w:shd w:val="clear" w:color="auto" w:fill="EAF5F3"/>
            <w:vAlign w:val="center"/>
          </w:tcPr>
          <w:p w14:paraId="24CBD3B3" w14:textId="77777777" w:rsidR="008535D2" w:rsidRDefault="00636912">
            <w:pPr>
              <w:jc w:val="center"/>
            </w:pPr>
            <w:r>
              <w:rPr>
                <w:b/>
                <w:color w:val="227263"/>
                <w:sz w:val="24"/>
              </w:rPr>
              <w:t>Biodiversity</w:t>
            </w:r>
          </w:p>
          <w:p w14:paraId="3A8552AB" w14:textId="3BEDB1F1" w:rsidR="008535D2" w:rsidRDefault="00636912">
            <w:pPr>
              <w:jc w:val="center"/>
            </w:pPr>
            <w:r>
              <w:rPr>
                <w:i/>
                <w:color w:val="505050"/>
                <w:sz w:val="19"/>
              </w:rPr>
              <w:t xml:space="preserve">Restoring the microbial and fungal systems </w:t>
            </w:r>
            <w:r w:rsidR="00EF31D3">
              <w:rPr>
                <w:i/>
                <w:color w:val="505050"/>
                <w:sz w:val="19"/>
              </w:rPr>
              <w:t xml:space="preserve">upon which regenerative living </w:t>
            </w:r>
            <w:r>
              <w:rPr>
                <w:i/>
                <w:color w:val="505050"/>
                <w:sz w:val="19"/>
              </w:rPr>
              <w:t>soil</w:t>
            </w:r>
            <w:r w:rsidR="00EF31D3">
              <w:rPr>
                <w:i/>
                <w:color w:val="505050"/>
                <w:sz w:val="19"/>
              </w:rPr>
              <w:t>s</w:t>
            </w:r>
            <w:r>
              <w:rPr>
                <w:i/>
                <w:color w:val="505050"/>
                <w:sz w:val="19"/>
              </w:rPr>
              <w:t xml:space="preserve"> </w:t>
            </w:r>
            <w:r w:rsidR="00EF31D3">
              <w:rPr>
                <w:i/>
                <w:color w:val="505050"/>
                <w:sz w:val="19"/>
              </w:rPr>
              <w:t>depend</w:t>
            </w:r>
          </w:p>
        </w:tc>
      </w:tr>
    </w:tbl>
    <w:p w14:paraId="3BA9ADEE" w14:textId="77777777" w:rsidR="008535D2" w:rsidRDefault="008535D2"/>
    <w:p w14:paraId="77824BB0" w14:textId="77777777" w:rsidR="008535D2" w:rsidRDefault="00636912">
      <w:pPr>
        <w:spacing w:before="200" w:after="60"/>
      </w:pPr>
      <w:r>
        <w:rPr>
          <w:b/>
          <w:color w:val="19716D"/>
          <w:sz w:val="29"/>
        </w:rPr>
        <w:t>The Case in Brief</w:t>
      </w:r>
    </w:p>
    <w:p w14:paraId="5C9EA309" w14:textId="77777777" w:rsidR="008535D2" w:rsidRDefault="00636912">
      <w:pPr>
        <w:spacing w:after="120"/>
      </w:pPr>
      <w:r>
        <w:t>Soil is not just a growing medium. It is a living system, among the most biologically complex on Earth. Decades of industrial agriculture have systematically dismantled that system: synthetic fertilizers suppress microbial activity, herbicides and pesticides kill the organisms on which soil depends, and tillage breaks apart the fungal networks that hold soil structure together.</w:t>
      </w:r>
    </w:p>
    <w:p w14:paraId="4CE17319" w14:textId="6B11910A" w:rsidR="008535D2" w:rsidRDefault="00636912">
      <w:pPr>
        <w:spacing w:after="120"/>
      </w:pPr>
      <w:r>
        <w:t>The result is a global crisis of soil degradation that drives declines in crop yields, water insecurity, and carbon emissions</w:t>
      </w:r>
      <w:r w:rsidR="004F08A9">
        <w:t>. At</w:t>
      </w:r>
      <w:r w:rsidR="00722EF8">
        <w:t xml:space="preserve"> the same time,</w:t>
      </w:r>
      <w:r>
        <w:t xml:space="preserve"> the organic materials that could restore these systems are treated as waste.</w:t>
      </w:r>
    </w:p>
    <w:p w14:paraId="00097654" w14:textId="4BCF1B01" w:rsidR="008535D2" w:rsidRDefault="00186722">
      <w:pPr>
        <w:spacing w:after="120"/>
      </w:pPr>
      <w:r>
        <w:t>Regenerative farming is grounded in a growing global body of research in soil science, agroecology, and soil biology, and has been advanced by generations of farmers, Indigenous land stewards, and practitioners across diverse landscapes and climate zones.</w:t>
      </w:r>
    </w:p>
    <w:p w14:paraId="3E69793E" w14:textId="77777777" w:rsidR="00140FAD" w:rsidRDefault="00140FAD">
      <w:pPr>
        <w:spacing w:after="120"/>
        <w:rPr>
          <w:kern w:val="2"/>
          <w:szCs w:val="21"/>
          <w:lang w:val="en-CA" w:eastAsia="en-CA"/>
          <w14:ligatures w14:val="standardContextual"/>
        </w:rPr>
      </w:pPr>
      <w:r>
        <w:t>Regenerative farming has demonstrated that this damage is reversible. The movement is broader than any single institution or researcher. It spans formal science, including the work of the Rodale Institute and soil biologists such as Elaine Ingham, Rebecca Harvey, and the Woods End Laboratories; farmer-led innovation mirrored by regenerative leaders, agroecology networks, and soil restoration initiatives across Africa, Latin America, Australia, Asia, and Europe; public mobilization efforts such as Kiss the Ground; and a wide international research base spanning agroecology, soil carbon science, and ecosystem restoration. Soil can be rebuilt wherever it is used or applied.</w:t>
      </w:r>
    </w:p>
    <w:p w14:paraId="3D0654A8" w14:textId="77777777" w:rsidR="000438BA" w:rsidRDefault="000438BA">
      <w:pPr>
        <w:spacing w:after="120"/>
      </w:pPr>
    </w:p>
    <w:p w14:paraId="4BCF0ED0" w14:textId="24378F66" w:rsidR="00EC64BA" w:rsidRDefault="0082188D" w:rsidP="0082188D">
      <w:pPr>
        <w:tabs>
          <w:tab w:val="left" w:pos="2917"/>
        </w:tabs>
        <w:spacing w:after="120"/>
      </w:pPr>
      <w:r>
        <w:lastRenderedPageBreak/>
        <w:tab/>
      </w:r>
    </w:p>
    <w:p w14:paraId="5DFB48E6" w14:textId="77777777" w:rsidR="000438BA" w:rsidRDefault="000438BA">
      <w:pPr>
        <w:spacing w:after="120"/>
      </w:pPr>
    </w:p>
    <w:tbl>
      <w:tblPr>
        <w:tblW w:w="0" w:type="auto"/>
        <w:jc w:val="center"/>
        <w:tblLook w:val="04A0" w:firstRow="1" w:lastRow="0" w:firstColumn="1" w:lastColumn="0" w:noHBand="0" w:noVBand="1"/>
      </w:tblPr>
      <w:tblGrid>
        <w:gridCol w:w="5184"/>
        <w:gridCol w:w="5184"/>
      </w:tblGrid>
      <w:tr w:rsidR="008535D2" w14:paraId="4F0812F5" w14:textId="77777777">
        <w:trPr>
          <w:jc w:val="center"/>
        </w:trPr>
        <w:tc>
          <w:tcPr>
            <w:tcW w:w="5184" w:type="dxa"/>
            <w:shd w:val="clear" w:color="auto" w:fill="F2F7F5"/>
          </w:tcPr>
          <w:p w14:paraId="4253C67B" w14:textId="77777777" w:rsidR="008535D2" w:rsidRDefault="00636912">
            <w:pPr>
              <w:jc w:val="center"/>
            </w:pPr>
            <w:r>
              <w:rPr>
                <w:b/>
                <w:color w:val="227263"/>
                <w:sz w:val="24"/>
              </w:rPr>
              <w:t>100M acres</w:t>
            </w:r>
          </w:p>
          <w:p w14:paraId="22F2357F" w14:textId="77777777" w:rsidR="008535D2" w:rsidRDefault="00636912">
            <w:pPr>
              <w:jc w:val="center"/>
            </w:pPr>
            <w:r>
              <w:rPr>
                <w:i/>
                <w:color w:val="505050"/>
                <w:sz w:val="19"/>
              </w:rPr>
              <w:t>Targeted for transition to soil-health-driven farming through the Kiss the Ground / Gabe Brown 100 Million Acres Initiative</w:t>
            </w:r>
          </w:p>
        </w:tc>
        <w:tc>
          <w:tcPr>
            <w:tcW w:w="5184" w:type="dxa"/>
            <w:shd w:val="clear" w:color="auto" w:fill="F2F7F5"/>
          </w:tcPr>
          <w:p w14:paraId="40FAFE1C" w14:textId="77777777" w:rsidR="008535D2" w:rsidRDefault="00636912">
            <w:pPr>
              <w:jc w:val="center"/>
            </w:pPr>
            <w:r>
              <w:rPr>
                <w:b/>
                <w:color w:val="227263"/>
                <w:sz w:val="24"/>
              </w:rPr>
              <w:t>COP31</w:t>
            </w:r>
          </w:p>
          <w:p w14:paraId="77F3621E" w14:textId="77777777" w:rsidR="008535D2" w:rsidRDefault="00636912">
            <w:pPr>
              <w:jc w:val="center"/>
            </w:pPr>
            <w:r>
              <w:rPr>
                <w:i/>
                <w:color w:val="505050"/>
                <w:sz w:val="19"/>
              </w:rPr>
              <w:t>Antalya 2026: an immediate policy window for recognition of soil biology as a climate intervention</w:t>
            </w:r>
          </w:p>
        </w:tc>
      </w:tr>
    </w:tbl>
    <w:p w14:paraId="03CC16CD" w14:textId="77777777" w:rsidR="008535D2" w:rsidRDefault="00636912">
      <w:pPr>
        <w:spacing w:before="200" w:after="60"/>
      </w:pPr>
      <w:r>
        <w:rPr>
          <w:b/>
          <w:color w:val="19716D"/>
          <w:sz w:val="29"/>
        </w:rPr>
        <w:t>The Foundation: What the Science Tells Us</w:t>
      </w:r>
    </w:p>
    <w:p w14:paraId="47936920" w14:textId="77777777" w:rsidR="008535D2" w:rsidRDefault="00636912">
      <w:pPr>
        <w:spacing w:before="120" w:after="0"/>
      </w:pPr>
      <w:r>
        <w:rPr>
          <w:b/>
          <w:color w:val="216150"/>
          <w:sz w:val="24"/>
        </w:rPr>
        <w:t>The Problem</w:t>
      </w:r>
    </w:p>
    <w:p w14:paraId="7D34C25E" w14:textId="77777777" w:rsidR="008535D2" w:rsidRDefault="00636912">
      <w:pPr>
        <w:spacing w:after="120"/>
      </w:pPr>
      <w:r>
        <w:t>Industrial agriculture has created a cycle of chemical dependency: synthetic inputs replace the natural biological functions of healthy soil while degrading the very biology that enables those functions. The effects extend beyond farming. Degraded soil releases stored carbon, loses its ability to retain water, and can no longer support the plant communities that sustain food systems and ecosystems. Meanwhile, large volumes of organic material - food waste, agricultural residues, and urban organics - are removed from natural cycles and treated as waste, breaking the biological loop needed to rebuild soil. This is a systemic failure: the materials needed to restore soil are being discarded, underused, or processed without biological intent.</w:t>
      </w:r>
    </w:p>
    <w:p w14:paraId="6C1196DE" w14:textId="77777777" w:rsidR="008535D2" w:rsidRDefault="00636912">
      <w:pPr>
        <w:spacing w:before="120" w:after="0"/>
      </w:pPr>
      <w:r>
        <w:rPr>
          <w:b/>
          <w:color w:val="216150"/>
          <w:sz w:val="24"/>
        </w:rPr>
        <w:t>The Science</w:t>
      </w:r>
    </w:p>
    <w:p w14:paraId="79D5B343" w14:textId="300A92C8" w:rsidR="008535D2" w:rsidRDefault="00636912">
      <w:pPr>
        <w:spacing w:after="120"/>
      </w:pPr>
      <w:r>
        <w:t xml:space="preserve">Soil science has long established that soil performance is fundamentally biological, driven by bacteria, fungi, protozoa, and a complex web of organisms that no synthetic input can replicate. What regenerative practitioners and researchers have demonstrated is that these biological properties are measurable, manageable, and reproducible at scale. The work of Elaine Ingham and the Soil Food Web School, together with laboratory validation from Woods End Laboratories and the Deveron </w:t>
      </w:r>
      <w:r w:rsidR="00974744">
        <w:t xml:space="preserve">Laboratory </w:t>
      </w:r>
      <w:r>
        <w:t>Network, has been particularly significant in translating this science into field-applicable protocols and performance-based standards.</w:t>
      </w:r>
    </w:p>
    <w:p w14:paraId="164B11D8" w14:textId="77777777" w:rsidR="008535D2" w:rsidRDefault="00636912">
      <w:pPr>
        <w:spacing w:after="120"/>
      </w:pPr>
      <w:r>
        <w:t>This work aligns with a broader scientific field spanning soil ecology, agroecology, and soil biology, drawing on contributions from researchers such as Rattan Lal (soil carbon and land restoration) and Richard Bardgett (soil biodiversity and ecosystem function), as well as from global institutions such as FAO and the IPCC.</w:t>
      </w:r>
    </w:p>
    <w:p w14:paraId="58F852B9" w14:textId="77777777" w:rsidR="008535D2" w:rsidRDefault="00636912">
      <w:pPr>
        <w:spacing w:before="200" w:after="60"/>
      </w:pPr>
      <w:r>
        <w:rPr>
          <w:b/>
          <w:color w:val="19716D"/>
          <w:sz w:val="29"/>
        </w:rPr>
        <w:t>Defining Regenerative Living Soils</w:t>
      </w:r>
    </w:p>
    <w:p w14:paraId="498A7972" w14:textId="77777777" w:rsidR="008535D2" w:rsidRDefault="00636912">
      <w:pPr>
        <w:spacing w:after="120"/>
      </w:pPr>
      <w:r>
        <w:t>Regenerative Living Soils are biologically active soil systems and soil supplements designed to deliver targeted agricultural and ecological outcomes through validated biological performance. They build on the foundation of high-quality compost, but go beyond stabilization and waste diversion by focusing on measurable biological function in the field.</w:t>
      </w:r>
    </w:p>
    <w:p w14:paraId="6061D604" w14:textId="77777777" w:rsidR="008535D2" w:rsidRDefault="00636912">
      <w:pPr>
        <w:spacing w:before="200" w:after="60"/>
      </w:pPr>
      <w:r>
        <w:rPr>
          <w:b/>
          <w:color w:val="19716D"/>
          <w:sz w:val="29"/>
        </w:rPr>
        <w:t>The Living Soils Initiative</w:t>
      </w:r>
    </w:p>
    <w:p w14:paraId="245C3BDC" w14:textId="77777777" w:rsidR="008535D2" w:rsidRDefault="00636912">
      <w:pPr>
        <w:spacing w:after="120"/>
      </w:pPr>
      <w:r>
        <w:t>Regenerative Living Soils is an applied climate intervention platform built on the scientific foundation of regenerative farming and designed to translate decades of field research into practical standards, validated demonstration models, and policy engagement at the global scale. It is convened by the Turning Tides Sustainable Futures Collaborative Society, a cross-sector collaborative platform focused on advancing community-led, regenerative climate solutions through applied demonstration, partnership, and systems change.</w:t>
      </w:r>
    </w:p>
    <w:p w14:paraId="017129B0" w14:textId="77777777" w:rsidR="008535D2" w:rsidRDefault="00636912">
      <w:pPr>
        <w:spacing w:after="120"/>
      </w:pPr>
      <w:r>
        <w:t xml:space="preserve">The initiative's central reframe: organic materials are not waste. They are biological resources, the feedstock for soil restoration. When food scraps, agricultural residuals, and urban organics return to the land with biological intent, they complete the natural biocycle that industrial systems have interrupted. This reframes zero waste from </w:t>
      </w:r>
      <w:r>
        <w:lastRenderedPageBreak/>
        <w:t>diversion metrics to biological system regeneration, in which organic materials are not managed but reintegrated into living soil systems that restore ecological function.</w:t>
      </w:r>
    </w:p>
    <w:p w14:paraId="6D58F257" w14:textId="77777777" w:rsidR="008535D2" w:rsidRDefault="00636912">
      <w:pPr>
        <w:spacing w:before="120" w:after="0"/>
      </w:pPr>
      <w:r>
        <w:rPr>
          <w:b/>
          <w:color w:val="216150"/>
          <w:sz w:val="24"/>
        </w:rPr>
        <w:t>The Living Soils Framework: Supporting Components</w:t>
      </w:r>
    </w:p>
    <w:p w14:paraId="0855F6A9" w14:textId="0A971447" w:rsidR="008535D2" w:rsidRDefault="00636912">
      <w:pPr>
        <w:pStyle w:val="ListBullet"/>
        <w:spacing w:after="40"/>
      </w:pPr>
      <w:r>
        <w:rPr>
          <w:sz w:val="20"/>
        </w:rPr>
        <w:t xml:space="preserve">Scientific Validation: Biological testing protocols and field performance indicators establish measurable standards for living </w:t>
      </w:r>
      <w:r w:rsidR="00E857D7">
        <w:rPr>
          <w:sz w:val="20"/>
        </w:rPr>
        <w:t>soil</w:t>
      </w:r>
      <w:r>
        <w:rPr>
          <w:sz w:val="20"/>
        </w:rPr>
        <w:t xml:space="preserve"> products.</w:t>
      </w:r>
    </w:p>
    <w:p w14:paraId="64E46492" w14:textId="77777777" w:rsidR="008535D2" w:rsidRDefault="00636912">
      <w:pPr>
        <w:pStyle w:val="ListBullet"/>
        <w:spacing w:after="40"/>
      </w:pPr>
      <w:r>
        <w:rPr>
          <w:sz w:val="20"/>
        </w:rPr>
        <w:t>Production Standards: A Living Soils Producer Standard provides a pathway for composting facilities and biological production systems based on biological outcomes.</w:t>
      </w:r>
    </w:p>
    <w:p w14:paraId="28F31134" w14:textId="77777777" w:rsidR="008535D2" w:rsidRDefault="00636912">
      <w:pPr>
        <w:pStyle w:val="ListBullet"/>
        <w:spacing w:after="40"/>
      </w:pPr>
      <w:r>
        <w:rPr>
          <w:sz w:val="20"/>
        </w:rPr>
        <w:t>Demonstration Sites: Real-world pilots are underway or in development across agricultural, community, and municipal contexts, from the Salish Sea in the Pacific Northwest to Izmir at the gateway between Europe and Asia.</w:t>
      </w:r>
    </w:p>
    <w:p w14:paraId="0FE7BB67" w14:textId="77777777" w:rsidR="008535D2" w:rsidRDefault="00636912">
      <w:pPr>
        <w:pStyle w:val="ListBullet"/>
        <w:spacing w:after="40"/>
      </w:pPr>
      <w:r>
        <w:rPr>
          <w:sz w:val="20"/>
        </w:rPr>
        <w:t>Cross-Sector Convening: Turning Tides connects compost operators, farmers, scientists, Indigenous knowledge keepers, municipalities, youth organizations, and climate partners for learning and adaptation.</w:t>
      </w:r>
    </w:p>
    <w:p w14:paraId="480D2B25" w14:textId="77777777" w:rsidR="008535D2" w:rsidRDefault="00636912">
      <w:pPr>
        <w:spacing w:before="120" w:after="0"/>
      </w:pPr>
      <w:r>
        <w:rPr>
          <w:b/>
          <w:color w:val="216150"/>
          <w:sz w:val="24"/>
        </w:rPr>
        <w:t>The Living Soils Producer Standard and the Four Pillars</w:t>
      </w:r>
    </w:p>
    <w:p w14:paraId="3C3D0448" w14:textId="3BC8037A" w:rsidR="008535D2" w:rsidRDefault="00636912">
      <w:pPr>
        <w:spacing w:after="120"/>
      </w:pPr>
      <w:r>
        <w:t xml:space="preserve">The Living Soils Producer Standard is designed to go beyond the regulatory floor established by frameworks in most jurisdictions in Canada, the USA, and the EU that govern the safe production, quality, and land application of compost and biosolids. While existing regulations ensure safety and responsible management, the Living Soils Standard sets performance benchmarks: what biologically active compost and Regenerative Living Soil supplements actually deliver in the field. This shift from safe compliance to safe performance directly advances all four </w:t>
      </w:r>
      <w:r w:rsidR="00084B59">
        <w:t>pillars</w:t>
      </w:r>
      <w:r w:rsidR="0026111E">
        <w:t xml:space="preserve"> of Living Soils</w:t>
      </w:r>
      <w:r>
        <w:t>.</w:t>
      </w:r>
    </w:p>
    <w:p w14:paraId="0BDA0FD5" w14:textId="77777777" w:rsidR="008535D2" w:rsidRDefault="00636912">
      <w:pPr>
        <w:pStyle w:val="ListBullet"/>
        <w:spacing w:after="40"/>
      </w:pPr>
      <w:r>
        <w:rPr>
          <w:sz w:val="20"/>
        </w:rPr>
        <w:t>Climate Mitigation: Biologically active soils sequester carbon as stable organic matter rather than releasing it. A performance standard requiring measurable biological activity creates a direct, auditable link between the production of biologically active soils and carbon outcomes.</w:t>
      </w:r>
    </w:p>
    <w:p w14:paraId="479E1168" w14:textId="77777777" w:rsidR="008535D2" w:rsidRDefault="00636912">
      <w:pPr>
        <w:pStyle w:val="ListBullet"/>
        <w:spacing w:after="40"/>
      </w:pPr>
      <w:r>
        <w:rPr>
          <w:sz w:val="20"/>
        </w:rPr>
        <w:t>Circular Economy: A standard grounded in biological outcomes ensures that organic materials are genuinely reintegrated into living soil systems rather than merely diverted from landfill disposal. It closes the loop with intent.</w:t>
      </w:r>
    </w:p>
    <w:p w14:paraId="160E9102" w14:textId="77777777" w:rsidR="008535D2" w:rsidRDefault="00636912">
      <w:pPr>
        <w:pStyle w:val="ListBullet"/>
        <w:spacing w:after="40"/>
      </w:pPr>
      <w:r>
        <w:rPr>
          <w:sz w:val="20"/>
        </w:rPr>
        <w:t>Food Resilience: Consistent, validated biological soil inputs reduce farmers' dependence on harmful petroleum- and chemical-based inputs, supporting food safety, nutrition, yields, and soil stability across seasons and ecosystems.</w:t>
      </w:r>
    </w:p>
    <w:p w14:paraId="47DDC57B" w14:textId="77777777" w:rsidR="008535D2" w:rsidRDefault="00636912">
      <w:pPr>
        <w:pStyle w:val="ListBullet"/>
        <w:spacing w:after="40"/>
      </w:pPr>
      <w:r>
        <w:rPr>
          <w:sz w:val="20"/>
        </w:rPr>
        <w:t>Biodiversity: Soil that is measurably alive supports the microbial and fungal networks on which plant diversity, pollinator health, and broader ecosystem function depend.</w:t>
      </w:r>
    </w:p>
    <w:p w14:paraId="21EDCBAA" w14:textId="77777777" w:rsidR="008535D2" w:rsidRDefault="00636912">
      <w:pPr>
        <w:spacing w:before="200" w:after="60"/>
      </w:pPr>
      <w:r>
        <w:rPr>
          <w:b/>
          <w:color w:val="19716D"/>
          <w:sz w:val="29"/>
        </w:rPr>
        <w:t>The Composting Industry: The Critical Entry Point</w:t>
      </w:r>
    </w:p>
    <w:p w14:paraId="3AAAF347" w14:textId="77777777" w:rsidR="008535D2" w:rsidRDefault="00636912">
      <w:pPr>
        <w:spacing w:before="120" w:after="0"/>
      </w:pPr>
      <w:r>
        <w:rPr>
          <w:b/>
          <w:color w:val="216150"/>
          <w:sz w:val="24"/>
        </w:rPr>
        <w:t>The Current Gap</w:t>
      </w:r>
    </w:p>
    <w:p w14:paraId="4B43BF50" w14:textId="77777777" w:rsidR="008535D2" w:rsidRDefault="00636912">
      <w:pPr>
        <w:spacing w:after="120"/>
      </w:pPr>
      <w:r>
        <w:t>Internationally, most jurisdictions frame composting as a waste management and sanitation practice, measured in tons diverted rather than by biological performance. This framing limits investment, constrains market positioning, and systematically undervalues the contributions that biologically active soils can make to restoring farm soils and ecosystems.</w:t>
      </w:r>
    </w:p>
    <w:p w14:paraId="010F35B6" w14:textId="77777777" w:rsidR="008535D2" w:rsidRDefault="00636912">
      <w:pPr>
        <w:spacing w:after="120"/>
      </w:pPr>
      <w:r>
        <w:t>Regenerative farming and ecosystems require biologically active, consistently performing soil inputs. What the composting market currently supplies, in many cases, is stabilized organic matter - useful, but not consistently validated for specific crops, ecosystems, or field performance.</w:t>
      </w:r>
    </w:p>
    <w:p w14:paraId="3F8C2BD5" w14:textId="033A2F46" w:rsidR="008535D2" w:rsidRDefault="00636912">
      <w:pPr>
        <w:spacing w:after="120"/>
      </w:pPr>
      <w:r>
        <w:t xml:space="preserve">Many countries, regions, and cities have engaged in organic waste diversion, composting, and land application for decades, supported by regional and national composting councils, industry NGOs, and standards organizations such as ISO and ASTM. While regulations for safe processing, application, and disposal are generally well-intentioned, inconsistent frameworks across jurisdictions can make organics difficult to manage at scale in </w:t>
      </w:r>
      <w:r w:rsidR="00DD207D">
        <w:t xml:space="preserve">alignment </w:t>
      </w:r>
      <w:r>
        <w:t>with biological outcomes.</w:t>
      </w:r>
    </w:p>
    <w:p w14:paraId="7F7A645E" w14:textId="6A343CA3" w:rsidR="008535D2" w:rsidRDefault="00636912">
      <w:pPr>
        <w:spacing w:after="120"/>
      </w:pPr>
      <w:r>
        <w:lastRenderedPageBreak/>
        <w:t xml:space="preserve">The emergence of measurable biological performance indicators creates </w:t>
      </w:r>
      <w:r w:rsidR="00F62B88">
        <w:t xml:space="preserve">an </w:t>
      </w:r>
      <w:r>
        <w:t>opportunity to harmonize fragmented regulatory systems around science-based global standards focused on real-world outcomes rather than process variation between jurisdictions.</w:t>
      </w:r>
    </w:p>
    <w:p w14:paraId="15695539" w14:textId="7107197F" w:rsidR="008535D2" w:rsidRDefault="00636912">
      <w:pPr>
        <w:spacing w:after="120"/>
      </w:pPr>
      <w:r>
        <w:t xml:space="preserve">Turning Tides supports </w:t>
      </w:r>
      <w:r w:rsidR="007C4DC6">
        <w:t>establishing an industry-led Regenerative Living Soils Producers Association that operates</w:t>
      </w:r>
      <w:r>
        <w:t xml:space="preserve"> under a unified, science-based framework grounded in soil biology. With support from recognized soil science professionals, industry participants, farmers, municipalities, and participating regulators, the Association would develop and manage performance standards for certifying producers committed to meeting the highest standards for Regenerative Living Soils.</w:t>
      </w:r>
    </w:p>
    <w:p w14:paraId="04F734EA" w14:textId="77777777" w:rsidR="008535D2" w:rsidRDefault="00636912">
      <w:pPr>
        <w:spacing w:after="120"/>
      </w:pPr>
      <w:r>
        <w:t>Rather than displacing existing systems, Turning Tides' specific focus is on what remains underdeveloped: biological performance validation, the extension of composting and biological production infrastructure to large urban communities as well as smaller and remote regions, and the market and policy connections that allow compost to function as a living soil input rather than simply a diverted material.</w:t>
      </w:r>
    </w:p>
    <w:p w14:paraId="1AB5BA3F" w14:textId="77777777" w:rsidR="008535D2" w:rsidRDefault="00636912">
      <w:pPr>
        <w:spacing w:before="120" w:after="0"/>
      </w:pPr>
      <w:r>
        <w:rPr>
          <w:b/>
          <w:color w:val="216150"/>
          <w:sz w:val="24"/>
        </w:rPr>
        <w:t>The Strategic Choice</w:t>
      </w:r>
    </w:p>
    <w:p w14:paraId="48B6B011" w14:textId="69A6B78E" w:rsidR="008535D2" w:rsidRDefault="00636912">
      <w:pPr>
        <w:pStyle w:val="ListBullet"/>
        <w:spacing w:after="40"/>
      </w:pPr>
      <w:r w:rsidRPr="006959FF">
        <w:rPr>
          <w:b/>
          <w:bCs/>
          <w:sz w:val="20"/>
        </w:rPr>
        <w:t>Path A, Reactive:</w:t>
      </w:r>
      <w:r>
        <w:rPr>
          <w:sz w:val="20"/>
        </w:rPr>
        <w:t xml:space="preserve"> Wait for regulatory or market pressure to force </w:t>
      </w:r>
      <w:r w:rsidR="00B2166E">
        <w:rPr>
          <w:sz w:val="20"/>
        </w:rPr>
        <w:t xml:space="preserve">adaptation </w:t>
      </w:r>
      <w:r w:rsidR="00714EAC">
        <w:rPr>
          <w:sz w:val="20"/>
        </w:rPr>
        <w:t>and c</w:t>
      </w:r>
      <w:r w:rsidR="00B2166E">
        <w:rPr>
          <w:sz w:val="20"/>
        </w:rPr>
        <w:t>ede</w:t>
      </w:r>
      <w:r>
        <w:rPr>
          <w:sz w:val="20"/>
        </w:rPr>
        <w:t xml:space="preserve"> leadership of the transition.</w:t>
      </w:r>
    </w:p>
    <w:p w14:paraId="238D6A53" w14:textId="2665E394" w:rsidR="008535D2" w:rsidRDefault="00636912">
      <w:pPr>
        <w:pStyle w:val="ListBullet"/>
        <w:spacing w:after="40"/>
      </w:pPr>
      <w:r w:rsidRPr="006959FF">
        <w:rPr>
          <w:b/>
          <w:bCs/>
          <w:sz w:val="20"/>
        </w:rPr>
        <w:t>Path B, Proactive:</w:t>
      </w:r>
      <w:r>
        <w:rPr>
          <w:sz w:val="20"/>
        </w:rPr>
        <w:t xml:space="preserve"> Reframe organics processing as </w:t>
      </w:r>
      <w:r w:rsidRPr="00D719EC">
        <w:rPr>
          <w:sz w:val="20"/>
          <w:u w:val="single"/>
        </w:rPr>
        <w:t>biological production</w:t>
      </w:r>
      <w:r>
        <w:rPr>
          <w:sz w:val="20"/>
        </w:rPr>
        <w:t xml:space="preserve">. Build scientific standards, </w:t>
      </w:r>
      <w:r w:rsidR="00B46680">
        <w:rPr>
          <w:sz w:val="20"/>
        </w:rPr>
        <w:t xml:space="preserve">demonstrate value, and foster </w:t>
      </w:r>
      <w:r>
        <w:rPr>
          <w:sz w:val="20"/>
        </w:rPr>
        <w:t xml:space="preserve">cross-sector partnerships that position the industry as a climate </w:t>
      </w:r>
      <w:r w:rsidR="00154EE0">
        <w:rPr>
          <w:sz w:val="20"/>
        </w:rPr>
        <w:t>leader</w:t>
      </w:r>
      <w:r>
        <w:rPr>
          <w:sz w:val="20"/>
        </w:rPr>
        <w:t>.</w:t>
      </w:r>
    </w:p>
    <w:p w14:paraId="0334A615" w14:textId="3580E58B" w:rsidR="008535D2" w:rsidRDefault="00636912">
      <w:pPr>
        <w:spacing w:after="120"/>
      </w:pPr>
      <w:r w:rsidRPr="006959FF">
        <w:rPr>
          <w:b/>
          <w:bCs/>
        </w:rPr>
        <w:t>Path B does not replace existing systems.</w:t>
      </w:r>
      <w:r>
        <w:t xml:space="preserve"> It adds a biological performance layer and builds </w:t>
      </w:r>
      <w:r w:rsidR="003E07DF">
        <w:t>market relationships with regenerative farming, creating</w:t>
      </w:r>
      <w:r>
        <w:t xml:space="preserve"> demand for it. Agriculture is the system that closes the loop: biological performance is tested in the field, carbon is sequestered in living soils, and value is realized at the farm gate. Without agriculture as an active participant, compost remains a processed material and soil restoration does not scale.</w:t>
      </w:r>
    </w:p>
    <w:p w14:paraId="15D42263" w14:textId="77777777" w:rsidR="008535D2" w:rsidRDefault="00636912">
      <w:pPr>
        <w:spacing w:before="120" w:after="0"/>
      </w:pPr>
      <w:r>
        <w:rPr>
          <w:b/>
          <w:color w:val="216150"/>
          <w:sz w:val="24"/>
        </w:rPr>
        <w:t>Controlled Biological Processing</w:t>
      </w:r>
    </w:p>
    <w:p w14:paraId="0637F0A2" w14:textId="77777777" w:rsidR="008535D2" w:rsidRDefault="00636912">
      <w:pPr>
        <w:spacing w:after="120"/>
      </w:pPr>
      <w:r>
        <w:t>Controlled biological processing systems can enable the scalable production of homogeneous biological inputs with targeted microbial and fungal balance. Unlike conventional composting systems focused primarily on stabilization and diversion, these systems support the consistent production of biologically validated inputs required for Regenerative Living Soils. This is not composting as traditionally defined. It is biological production aligned with climate, agricultural, and ecosystem outcomes.</w:t>
      </w:r>
    </w:p>
    <w:p w14:paraId="2B1737F7" w14:textId="77777777" w:rsidR="008535D2" w:rsidRDefault="00636912">
      <w:pPr>
        <w:spacing w:before="200" w:after="60"/>
      </w:pPr>
      <w:r>
        <w:rPr>
          <w:b/>
          <w:color w:val="19716D"/>
          <w:sz w:val="29"/>
        </w:rPr>
        <w:t>What Each Sector Can Do</w:t>
      </w:r>
    </w:p>
    <w:p w14:paraId="34CAD2A7" w14:textId="77777777" w:rsidR="008535D2" w:rsidRDefault="00636912">
      <w:pPr>
        <w:spacing w:before="120" w:after="0"/>
      </w:pPr>
      <w:r>
        <w:rPr>
          <w:b/>
          <w:color w:val="216150"/>
          <w:sz w:val="24"/>
        </w:rPr>
        <w:t>Composting Industry</w:t>
      </w:r>
    </w:p>
    <w:p w14:paraId="640014ED" w14:textId="77777777" w:rsidR="008535D2" w:rsidRDefault="00636912">
      <w:pPr>
        <w:pStyle w:val="ListBullet"/>
        <w:spacing w:after="40"/>
      </w:pPr>
      <w:r>
        <w:rPr>
          <w:sz w:val="20"/>
        </w:rPr>
        <w:t>Engage with biological testing protocols to establish performance baselines</w:t>
      </w:r>
    </w:p>
    <w:p w14:paraId="722FB424" w14:textId="77777777" w:rsidR="008535D2" w:rsidRDefault="00636912">
      <w:pPr>
        <w:pStyle w:val="ListBullet"/>
        <w:spacing w:after="40"/>
      </w:pPr>
      <w:r>
        <w:rPr>
          <w:sz w:val="20"/>
        </w:rPr>
        <w:t>Participate in Living Soils Producer Standard development</w:t>
      </w:r>
    </w:p>
    <w:p w14:paraId="2B1EC66F" w14:textId="77777777" w:rsidR="008535D2" w:rsidRDefault="00636912">
      <w:pPr>
        <w:pStyle w:val="ListBullet"/>
        <w:spacing w:after="40"/>
      </w:pPr>
      <w:r>
        <w:rPr>
          <w:sz w:val="20"/>
        </w:rPr>
        <w:t>Identify pilot sites for demonstration and validation</w:t>
      </w:r>
    </w:p>
    <w:p w14:paraId="56AF65D1" w14:textId="77777777" w:rsidR="008535D2" w:rsidRDefault="00636912">
      <w:pPr>
        <w:spacing w:before="120" w:after="0"/>
      </w:pPr>
      <w:r>
        <w:rPr>
          <w:b/>
          <w:color w:val="216150"/>
          <w:sz w:val="24"/>
        </w:rPr>
        <w:t>Municipal Governments</w:t>
      </w:r>
    </w:p>
    <w:p w14:paraId="21E1E66F" w14:textId="77777777" w:rsidR="008535D2" w:rsidRDefault="00636912">
      <w:pPr>
        <w:pStyle w:val="ListBullet"/>
        <w:spacing w:after="40"/>
      </w:pPr>
      <w:r>
        <w:rPr>
          <w:sz w:val="20"/>
        </w:rPr>
        <w:t>Recognize organic waste as a biological resource within waste and land use policy</w:t>
      </w:r>
    </w:p>
    <w:p w14:paraId="7251EC30" w14:textId="77777777" w:rsidR="008535D2" w:rsidRDefault="00636912">
      <w:pPr>
        <w:pStyle w:val="ListBullet"/>
        <w:spacing w:after="40"/>
      </w:pPr>
      <w:r>
        <w:rPr>
          <w:sz w:val="20"/>
        </w:rPr>
        <w:t>Develop procurement standards that reward biological performance and support land application</w:t>
      </w:r>
    </w:p>
    <w:p w14:paraId="4BDEF2A9" w14:textId="77777777" w:rsidR="008535D2" w:rsidRDefault="00636912">
      <w:pPr>
        <w:pStyle w:val="ListBullet"/>
        <w:spacing w:after="40"/>
      </w:pPr>
      <w:r>
        <w:rPr>
          <w:sz w:val="20"/>
        </w:rPr>
        <w:t>Prioritize capacity building in smaller communities, remote and northern regions, and Indigenous territories</w:t>
      </w:r>
    </w:p>
    <w:p w14:paraId="431015BC" w14:textId="77777777" w:rsidR="008535D2" w:rsidRDefault="00636912">
      <w:pPr>
        <w:spacing w:before="120" w:after="0"/>
      </w:pPr>
      <w:r>
        <w:rPr>
          <w:b/>
          <w:color w:val="216150"/>
          <w:sz w:val="24"/>
        </w:rPr>
        <w:t>Agriculture</w:t>
      </w:r>
    </w:p>
    <w:p w14:paraId="5B1EAD0E" w14:textId="77777777" w:rsidR="008535D2" w:rsidRDefault="00636912">
      <w:pPr>
        <w:pStyle w:val="ListBullet"/>
        <w:spacing w:after="40"/>
      </w:pPr>
      <w:r>
        <w:rPr>
          <w:sz w:val="20"/>
        </w:rPr>
        <w:t>Adopt biological soil inputs and participate in Living Soils field validation trials</w:t>
      </w:r>
    </w:p>
    <w:p w14:paraId="42E1D12C" w14:textId="77777777" w:rsidR="008535D2" w:rsidRDefault="00636912">
      <w:pPr>
        <w:pStyle w:val="ListBullet"/>
        <w:spacing w:after="40"/>
      </w:pPr>
      <w:r>
        <w:rPr>
          <w:sz w:val="20"/>
        </w:rPr>
        <w:t>Co-develop biological performance standards as the primary market for living soils outputs</w:t>
      </w:r>
    </w:p>
    <w:p w14:paraId="6C224BB7" w14:textId="77777777" w:rsidR="008535D2" w:rsidRDefault="00636912">
      <w:pPr>
        <w:pStyle w:val="ListBullet"/>
        <w:spacing w:after="40"/>
      </w:pPr>
      <w:r>
        <w:rPr>
          <w:sz w:val="20"/>
        </w:rPr>
        <w:t>Share field data and farmer knowledge as co-innovators in regenerative systems</w:t>
      </w:r>
    </w:p>
    <w:p w14:paraId="7ABF974D" w14:textId="77777777" w:rsidR="008535D2" w:rsidRDefault="00636912">
      <w:pPr>
        <w:spacing w:before="120" w:after="0"/>
      </w:pPr>
      <w:r>
        <w:rPr>
          <w:b/>
          <w:color w:val="216150"/>
          <w:sz w:val="24"/>
        </w:rPr>
        <w:t>Academic Institutions</w:t>
      </w:r>
    </w:p>
    <w:p w14:paraId="231C4D80" w14:textId="77777777" w:rsidR="008535D2" w:rsidRDefault="00636912">
      <w:pPr>
        <w:pStyle w:val="ListBullet"/>
        <w:spacing w:after="40"/>
      </w:pPr>
      <w:r>
        <w:rPr>
          <w:sz w:val="20"/>
        </w:rPr>
        <w:lastRenderedPageBreak/>
        <w:t>Contribute to protocol development and independent validation</w:t>
      </w:r>
    </w:p>
    <w:p w14:paraId="0FD5E9F7" w14:textId="77777777" w:rsidR="008535D2" w:rsidRDefault="00636912">
      <w:pPr>
        <w:pStyle w:val="ListBullet"/>
        <w:spacing w:after="40"/>
      </w:pPr>
      <w:r>
        <w:rPr>
          <w:sz w:val="20"/>
        </w:rPr>
        <w:t>Bridge applied composting practice and soil biology research</w:t>
      </w:r>
    </w:p>
    <w:p w14:paraId="1C7D60A1" w14:textId="77777777" w:rsidR="008535D2" w:rsidRDefault="00636912">
      <w:pPr>
        <w:pStyle w:val="ListBullet"/>
        <w:spacing w:after="40"/>
      </w:pPr>
      <w:r>
        <w:rPr>
          <w:sz w:val="20"/>
        </w:rPr>
        <w:t>Support longitudinal field studies for the policy evidence base</w:t>
      </w:r>
    </w:p>
    <w:p w14:paraId="10F0C74C" w14:textId="77777777" w:rsidR="008535D2" w:rsidRDefault="00636912">
      <w:pPr>
        <w:spacing w:before="120" w:after="0"/>
      </w:pPr>
      <w:r>
        <w:rPr>
          <w:b/>
          <w:color w:val="216150"/>
          <w:sz w:val="24"/>
        </w:rPr>
        <w:t>NGO &amp; Civil Society</w:t>
      </w:r>
    </w:p>
    <w:p w14:paraId="001A7B0A" w14:textId="77777777" w:rsidR="008535D2" w:rsidRDefault="00636912">
      <w:pPr>
        <w:pStyle w:val="ListBullet"/>
        <w:spacing w:after="40"/>
      </w:pPr>
      <w:r>
        <w:rPr>
          <w:sz w:val="20"/>
        </w:rPr>
        <w:t>Integrate living soils into food security and food sovereignty efforts</w:t>
      </w:r>
    </w:p>
    <w:p w14:paraId="12EEEC9A" w14:textId="77777777" w:rsidR="008535D2" w:rsidRDefault="00636912">
      <w:pPr>
        <w:pStyle w:val="ListBullet"/>
        <w:spacing w:after="40"/>
      </w:pPr>
      <w:r>
        <w:rPr>
          <w:sz w:val="20"/>
        </w:rPr>
        <w:t>Build public understanding of soil health as a climate, food, and community issue</w:t>
      </w:r>
    </w:p>
    <w:p w14:paraId="72F78BBD" w14:textId="77777777" w:rsidR="008535D2" w:rsidRDefault="00636912">
      <w:pPr>
        <w:spacing w:before="120" w:after="0"/>
      </w:pPr>
      <w:r>
        <w:rPr>
          <w:b/>
          <w:color w:val="216150"/>
          <w:sz w:val="24"/>
        </w:rPr>
        <w:t>Indigenous Knowledge Keepers and Land Stewards</w:t>
      </w:r>
    </w:p>
    <w:p w14:paraId="1DB8B7EC" w14:textId="77777777" w:rsidR="008535D2" w:rsidRDefault="00636912">
      <w:pPr>
        <w:pStyle w:val="ListBullet"/>
        <w:spacing w:after="40"/>
      </w:pPr>
      <w:r>
        <w:rPr>
          <w:sz w:val="20"/>
        </w:rPr>
        <w:t>Bring place-based ecological knowledge that has sustained soil and land health across generations</w:t>
      </w:r>
    </w:p>
    <w:p w14:paraId="527491C1" w14:textId="77777777" w:rsidR="008535D2" w:rsidRDefault="00636912">
      <w:pPr>
        <w:pStyle w:val="ListBullet"/>
        <w:spacing w:after="40"/>
      </w:pPr>
      <w:r>
        <w:rPr>
          <w:sz w:val="20"/>
        </w:rPr>
        <w:t>Co-design demonstration sites and Living Soils pilots on Indigenous territories, with self-determined governance of data and outcomes</w:t>
      </w:r>
    </w:p>
    <w:p w14:paraId="5D087BB8" w14:textId="77777777" w:rsidR="008535D2" w:rsidRDefault="00636912">
      <w:pPr>
        <w:pStyle w:val="ListBullet"/>
        <w:spacing w:after="40"/>
      </w:pPr>
      <w:r>
        <w:rPr>
          <w:sz w:val="20"/>
        </w:rPr>
        <w:t>Participate as equal partners in developing the Living Soils Producer Standard and cross-sector governance structures</w:t>
      </w:r>
    </w:p>
    <w:p w14:paraId="297F1D2F" w14:textId="77777777" w:rsidR="008535D2" w:rsidRDefault="00636912">
      <w:pPr>
        <w:spacing w:before="200" w:after="60"/>
      </w:pPr>
      <w:r>
        <w:rPr>
          <w:b/>
          <w:color w:val="19716D"/>
          <w:sz w:val="29"/>
        </w:rPr>
        <w:t>Community Leadership and Public Engagement</w:t>
      </w:r>
    </w:p>
    <w:p w14:paraId="0C8F57AA" w14:textId="77777777" w:rsidR="008535D2" w:rsidRDefault="00636912">
      <w:pPr>
        <w:spacing w:after="120"/>
      </w:pPr>
      <w:r>
        <w:t>Long-term ecological resilience depends not only on scientific and industrial systems, but on the inclusion of the communities and generations most directly connected to land, food, and future stability. Indigenous knowledge keepers, women, youth leaders, farmers, educators, artists, and community practitioners are essential participants in shaping regenerative systems that are scientifically credible, socially grounded, and globally scalable.</w:t>
      </w:r>
    </w:p>
    <w:p w14:paraId="7222C216" w14:textId="77777777" w:rsidR="008535D2" w:rsidRDefault="00636912">
      <w:pPr>
        <w:spacing w:after="120"/>
      </w:pPr>
      <w:r>
        <w:t>Turning Tides is developing this initiative in collaboration with youth-led climate and zero waste networks, recognizing the critical role younger generations can play as advocates, innovators, and long-term stewards of regenerative systems.</w:t>
      </w:r>
    </w:p>
    <w:p w14:paraId="3A7CC213" w14:textId="77777777" w:rsidR="008535D2" w:rsidRDefault="00636912">
      <w:pPr>
        <w:spacing w:before="200" w:after="60"/>
      </w:pPr>
      <w:r>
        <w:rPr>
          <w:b/>
          <w:color w:val="19716D"/>
          <w:sz w:val="29"/>
        </w:rPr>
        <w:t>The Global Opportunity: COP31 Antalya 2026</w:t>
      </w:r>
    </w:p>
    <w:p w14:paraId="5F2E24F2" w14:textId="77777777" w:rsidR="008535D2" w:rsidRDefault="00636912">
      <w:pPr>
        <w:spacing w:after="120"/>
      </w:pPr>
      <w:r>
        <w:t>Soil health and land-based climate solutions have long been underrepresented in international climate frameworks. The window to position soil biology within those frameworks is now: COP31 is a convergence point for land-based solutions, circular economy transitions, and regenerative agriculture. The research base, including the Rodale Institute Farming Systems Trial, the IPCC land-use chapters, the 4 per 1000 Initiative, and a growing body of peer-reviewed soil ecology work, provides a stronger foundation for that claim. That claim needs to arrive at COP31 with validated field evidence, credible partnerships, and a clear policy proposal.</w:t>
      </w:r>
    </w:p>
    <w:p w14:paraId="084C5426" w14:textId="77777777" w:rsidR="008535D2" w:rsidRDefault="00636912">
      <w:pPr>
        <w:spacing w:after="120"/>
      </w:pPr>
      <w:r>
        <w:t>Turning Tides is developing a strategy to position Living Soils for recognition within the COP31 High-Level Climate Champion framework, building on engagement with the Zero Waste Foundation and Zero Waste World networks. The goal: arrive at COP31 with a clear, actionable strategy, a validated pilot portfolio, peer-reviewed science, and a cross-sector coalition.</w:t>
      </w:r>
    </w:p>
    <w:p w14:paraId="7344EF6C" w14:textId="77777777" w:rsidR="008535D2" w:rsidRDefault="00636912">
      <w:pPr>
        <w:spacing w:before="120" w:after="0"/>
      </w:pPr>
      <w:r>
        <w:rPr>
          <w:b/>
          <w:color w:val="216150"/>
          <w:sz w:val="24"/>
        </w:rPr>
        <w:t>Pathway to COP31</w:t>
      </w:r>
    </w:p>
    <w:p w14:paraId="36A1F639" w14:textId="77777777" w:rsidR="008535D2" w:rsidRDefault="00636912">
      <w:pPr>
        <w:pStyle w:val="ListBullet"/>
        <w:spacing w:after="40"/>
      </w:pPr>
      <w:r>
        <w:rPr>
          <w:sz w:val="20"/>
        </w:rPr>
        <w:t>Full white paper with scientific review</w:t>
      </w:r>
    </w:p>
    <w:p w14:paraId="7E6FC970" w14:textId="77777777" w:rsidR="008535D2" w:rsidRDefault="00636912">
      <w:pPr>
        <w:pStyle w:val="ListBullet"/>
        <w:spacing w:after="40"/>
      </w:pPr>
      <w:r>
        <w:rPr>
          <w:sz w:val="20"/>
        </w:rPr>
        <w:t>Confirmed validation partners</w:t>
      </w:r>
    </w:p>
    <w:p w14:paraId="218FBAA3" w14:textId="77777777" w:rsidR="008535D2" w:rsidRDefault="00636912">
      <w:pPr>
        <w:pStyle w:val="ListBullet"/>
        <w:spacing w:after="40"/>
      </w:pPr>
      <w:r>
        <w:rPr>
          <w:sz w:val="20"/>
        </w:rPr>
        <w:t>Launched pilot demonstration sites</w:t>
      </w:r>
    </w:p>
    <w:p w14:paraId="21F7B6E4" w14:textId="77777777" w:rsidR="008535D2" w:rsidRDefault="00636912">
      <w:pPr>
        <w:pStyle w:val="ListBullet"/>
        <w:spacing w:after="40"/>
      </w:pPr>
      <w:r>
        <w:rPr>
          <w:sz w:val="20"/>
        </w:rPr>
        <w:t>Policy briefs for municipal and climate audiences</w:t>
      </w:r>
    </w:p>
    <w:p w14:paraId="372FFABB" w14:textId="77777777" w:rsidR="008535D2" w:rsidRDefault="00636912">
      <w:pPr>
        <w:pStyle w:val="ListBullet"/>
        <w:spacing w:after="40"/>
      </w:pPr>
      <w:r>
        <w:rPr>
          <w:sz w:val="20"/>
        </w:rPr>
        <w:t>Cross-sector coalition assembled</w:t>
      </w:r>
    </w:p>
    <w:p w14:paraId="1BFCF5C3" w14:textId="77777777" w:rsidR="00D358CA" w:rsidRDefault="00D358CA">
      <w:pPr>
        <w:spacing w:before="200" w:after="60"/>
        <w:rPr>
          <w:b/>
          <w:color w:val="19716D"/>
          <w:sz w:val="29"/>
        </w:rPr>
      </w:pPr>
    </w:p>
    <w:p w14:paraId="387A06DB" w14:textId="77777777" w:rsidR="00D358CA" w:rsidRDefault="00D358CA">
      <w:pPr>
        <w:spacing w:before="200" w:after="60"/>
        <w:rPr>
          <w:b/>
          <w:color w:val="19716D"/>
          <w:sz w:val="29"/>
        </w:rPr>
      </w:pPr>
    </w:p>
    <w:p w14:paraId="46B2B0B9" w14:textId="526CF183" w:rsidR="008535D2" w:rsidRDefault="00636912">
      <w:pPr>
        <w:spacing w:before="200" w:after="60"/>
      </w:pPr>
      <w:r>
        <w:rPr>
          <w:b/>
          <w:color w:val="19716D"/>
          <w:sz w:val="29"/>
        </w:rPr>
        <w:lastRenderedPageBreak/>
        <w:t>The Proposal</w:t>
      </w:r>
    </w:p>
    <w:p w14:paraId="50328C69" w14:textId="77777777" w:rsidR="008535D2" w:rsidRDefault="00636912">
      <w:pPr>
        <w:spacing w:after="120"/>
      </w:pPr>
      <w:r>
        <w:t>Living Soils is positioned at a moment of genuine convergence, where waste systems reform, soil science, and climate policy are being compelled to address the same underlying crisis through different framings. Turning Tides is asking partners, institutions, Indigenous knowledge keepers, youth networks, industry leaders, and policy actors to act on that convergence:</w:t>
      </w:r>
    </w:p>
    <w:p w14:paraId="3E4184DE" w14:textId="77777777" w:rsidR="008535D2" w:rsidRDefault="00636912">
      <w:pPr>
        <w:pStyle w:val="ListBullet"/>
        <w:spacing w:after="40"/>
      </w:pPr>
      <w:r>
        <w:rPr>
          <w:sz w:val="20"/>
        </w:rPr>
        <w:t>Recognition of Living Soils/soil biology as a defined climate intervention category within international climate frameworks</w:t>
      </w:r>
    </w:p>
    <w:p w14:paraId="729301A0" w14:textId="77777777" w:rsidR="008535D2" w:rsidRDefault="00636912">
      <w:pPr>
        <w:pStyle w:val="ListBullet"/>
        <w:spacing w:after="40"/>
      </w:pPr>
      <w:r>
        <w:rPr>
          <w:sz w:val="20"/>
        </w:rPr>
        <w:t>Inclusion in High-Level Climate Champion pathways at COP31 Antalya 2026</w:t>
      </w:r>
    </w:p>
    <w:p w14:paraId="0CB2542F" w14:textId="77777777" w:rsidR="008535D2" w:rsidRDefault="00636912">
      <w:pPr>
        <w:pStyle w:val="ListBullet"/>
        <w:spacing w:after="40"/>
      </w:pPr>
      <w:r>
        <w:rPr>
          <w:sz w:val="20"/>
        </w:rPr>
        <w:t>Integration of biological resource value into municipal organics policy frameworks</w:t>
      </w:r>
    </w:p>
    <w:p w14:paraId="305448B2" w14:textId="77777777" w:rsidR="008535D2" w:rsidRDefault="00636912">
      <w:pPr>
        <w:pStyle w:val="ListBullet"/>
        <w:spacing w:after="40"/>
      </w:pPr>
      <w:r>
        <w:rPr>
          <w:sz w:val="20"/>
        </w:rPr>
        <w:t>Investment in pilot-scale validation sites across agricultural, municipal, and community contexts (2026-2028)</w:t>
      </w:r>
    </w:p>
    <w:p w14:paraId="2C75A24B" w14:textId="77777777" w:rsidR="008535D2" w:rsidRDefault="00636912">
      <w:pPr>
        <w:pStyle w:val="ListBullet"/>
        <w:spacing w:after="40"/>
      </w:pPr>
      <w:r>
        <w:rPr>
          <w:sz w:val="20"/>
        </w:rPr>
        <w:t>Development of biological performance standards for soil inputs through the Living Soils Producer Standard</w:t>
      </w:r>
    </w:p>
    <w:p w14:paraId="37DFD19E" w14:textId="77777777" w:rsidR="008535D2" w:rsidRDefault="00636912">
      <w:pPr>
        <w:spacing w:before="200" w:after="60"/>
      </w:pPr>
      <w:r>
        <w:rPr>
          <w:b/>
          <w:color w:val="19716D"/>
          <w:sz w:val="29"/>
        </w:rPr>
        <w:t>Join the Initiative</w:t>
      </w:r>
    </w:p>
    <w:p w14:paraId="207960FC" w14:textId="77777777" w:rsidR="008535D2" w:rsidRDefault="00636912">
      <w:pPr>
        <w:spacing w:after="120"/>
      </w:pPr>
      <w:r>
        <w:t>The science is established. The tools exist. The organic resources are already present within our communities. What remains is a coordinated intervention across sectors that have not yet worked together.</w:t>
      </w:r>
    </w:p>
    <w:p w14:paraId="6B8A5B11" w14:textId="77777777" w:rsidR="008535D2" w:rsidRDefault="00636912">
      <w:pPr>
        <w:spacing w:after="120"/>
      </w:pPr>
      <w:r>
        <w:t>Turning Tides is seeking partners with operational capacity, scientific expertise, Indigenous knowledge, policy access, and community relationships to make this framework real across diverse contexts. The time to build is now. To connect with the Living Soils Initiative, contact Turning Tides at info@turningtides.ca.</w:t>
      </w:r>
    </w:p>
    <w:p w14:paraId="35D48BDE" w14:textId="77777777" w:rsidR="008535D2" w:rsidRPr="001677EB" w:rsidRDefault="00636912" w:rsidP="0026510F">
      <w:pPr>
        <w:spacing w:before="200" w:after="0"/>
        <w:rPr>
          <w:sz w:val="14"/>
          <w:szCs w:val="14"/>
        </w:rPr>
      </w:pPr>
      <w:r w:rsidRPr="001677EB">
        <w:rPr>
          <w:b/>
          <w:color w:val="19716D"/>
          <w:sz w:val="20"/>
          <w:szCs w:val="14"/>
        </w:rPr>
        <w:t>References &amp; Scientific Grounding</w:t>
      </w:r>
    </w:p>
    <w:p w14:paraId="3606A4AE" w14:textId="2CF2D958" w:rsidR="008535D2" w:rsidRDefault="00636912">
      <w:pPr>
        <w:spacing w:after="120"/>
        <w:rPr>
          <w:sz w:val="18"/>
          <w:szCs w:val="18"/>
        </w:rPr>
      </w:pPr>
      <w:r w:rsidRPr="0026510F">
        <w:rPr>
          <w:sz w:val="18"/>
          <w:szCs w:val="18"/>
        </w:rPr>
        <w:t>Rodale Institute, Farming Systems Trial and Regenerative Organic Agriculture and Climate Change (2014). Ingham, E., The Soil Food Web School. Brown, G., Dirt to Soil (2018); Kiss the Ground, 100 Million Acres Initiative. Woods End Laboratories; Deveron Network. Lal, R. (soil carbon and land restoration, Ohio State University). Bardgett, R., Soil Ecology and Ecosystem Services (2012). IPCC, Climate Change and Land (2019). 4 per 1000 Initiative (French Ministry of Agriculture). FAO, State of Knowledge of Soil Biodiversity (2020). Soil Health Institute; FiBL (Research Institute of Organic Agriculture). Climate projections are indicative</w:t>
      </w:r>
      <w:r w:rsidR="0024288E">
        <w:rPr>
          <w:sz w:val="18"/>
          <w:szCs w:val="18"/>
        </w:rPr>
        <w:t>,</w:t>
      </w:r>
      <w:r w:rsidR="0024288E" w:rsidRPr="0026510F">
        <w:rPr>
          <w:sz w:val="18"/>
          <w:szCs w:val="18"/>
        </w:rPr>
        <w:t xml:space="preserve"> </w:t>
      </w:r>
      <w:r w:rsidRPr="0026510F">
        <w:rPr>
          <w:sz w:val="18"/>
          <w:szCs w:val="18"/>
        </w:rPr>
        <w:t>subject to field validation and regional variation.</w:t>
      </w:r>
    </w:p>
    <w:p w14:paraId="060F5ECF" w14:textId="77777777" w:rsidR="00A57B9E" w:rsidRDefault="00A57B9E">
      <w:pPr>
        <w:spacing w:after="120"/>
        <w:rPr>
          <w:sz w:val="18"/>
          <w:szCs w:val="18"/>
        </w:rPr>
      </w:pPr>
    </w:p>
    <w:sectPr w:rsidR="00A57B9E" w:rsidSect="00034616">
      <w:headerReference w:type="default" r:id="rId7"/>
      <w:foot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6088D1A7" w14:textId="77777777" w:rsidR="00216A66" w:rsidRDefault="00216A66">
      <w:pPr>
        <w:spacing w:after="0" w:line="240" w:lineRule="auto"/>
      </w:pPr>
      <w:r>
        <w:separator/>
      </w:r>
    </w:p>
  </w:endnote>
  <w:endnote w:type="continuationSeparator" w:id="0">
    <w:p w14:paraId="5440615F" w14:textId="77777777" w:rsidR="00216A66" w:rsidRDefault="00216A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133E5D6" w14:textId="737AFC49" w:rsidR="008535D2" w:rsidRPr="000857A1" w:rsidRDefault="00636912">
    <w:pPr>
      <w:pStyle w:val="Footer"/>
      <w:rPr>
        <w:color w:val="505050"/>
        <w:sz w:val="16"/>
      </w:rPr>
    </w:pPr>
    <w:r>
      <w:rPr>
        <w:color w:val="505050"/>
        <w:sz w:val="16"/>
      </w:rPr>
      <w:t>Living Soils Initiative  |  Summary Brief  |  Ma</w:t>
    </w:r>
    <w:r w:rsidR="000857A1">
      <w:rPr>
        <w:color w:val="505050"/>
        <w:sz w:val="16"/>
      </w:rPr>
      <w:t>y</w:t>
    </w:r>
    <w:r>
      <w:rPr>
        <w:color w:val="505050"/>
        <w:sz w:val="16"/>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2C7B197" w14:textId="77777777" w:rsidR="00216A66" w:rsidRDefault="00216A66">
      <w:pPr>
        <w:spacing w:after="0" w:line="240" w:lineRule="auto"/>
      </w:pPr>
      <w:r>
        <w:separator/>
      </w:r>
    </w:p>
  </w:footnote>
  <w:footnote w:type="continuationSeparator" w:id="0">
    <w:p w14:paraId="05B4F3D1" w14:textId="77777777" w:rsidR="00216A66" w:rsidRDefault="00216A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1384B83" w14:textId="77777777" w:rsidR="008535D2" w:rsidRDefault="00636912">
    <w:pPr>
      <w:pStyle w:val="Header"/>
      <w:jc w:val="center"/>
    </w:pPr>
    <w:r>
      <w:rPr>
        <w:b/>
        <w:color w:val="466E4C"/>
        <w:sz w:val="17"/>
      </w:rPr>
      <w:t>TURNING TIDES SUSTAINABLE FUTURES COLLABORATIVE SOCIETY  |  LIVING SOILS INITIATIVE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BDA85CCE"/>
    <w:lvl w:ilvl="0">
      <w:start w:val="1"/>
      <w:numFmt w:val="bullet"/>
      <w:pStyle w:val="ListBullet"/>
      <w:lvlText w:val=""/>
      <w:lvlJc w:val="left"/>
      <w:pPr>
        <w:tabs>
          <w:tab w:val="num" w:pos="360"/>
        </w:tabs>
        <w:ind w:left="360" w:hanging="360"/>
      </w:pPr>
      <w:rPr>
        <w:rFonts w:ascii="Symbol" w:hAnsi="Symbol" w:hint="default"/>
      </w:rPr>
    </w:lvl>
  </w:abstractNum>
  <w:num w:numId="1" w16cid:durableId="1014264964">
    <w:abstractNumId w:val="1"/>
  </w:num>
  <w:num w:numId="2" w16cid:durableId="2032417385">
    <w:abstractNumId w:val="2"/>
  </w:num>
  <w:num w:numId="3" w16cid:durableId="221528769">
    <w:abstractNumId w:val="5"/>
  </w:num>
  <w:num w:numId="4" w16cid:durableId="270750545">
    <w:abstractNumId w:val="7"/>
  </w:num>
  <w:num w:numId="5" w16cid:durableId="293876746">
    <w:abstractNumId w:val="0"/>
  </w:num>
  <w:num w:numId="6" w16cid:durableId="296303963">
    <w:abstractNumId w:val="6"/>
  </w:num>
  <w:num w:numId="7" w16cid:durableId="486745768">
    <w:abstractNumId w:val="3"/>
  </w:num>
  <w:num w:numId="8" w16cid:durableId="783500219">
    <w:abstractNumId w:val="4"/>
  </w:num>
  <w:num w:numId="9" w16cid:durableId="910850553">
    <w:abstractNumId w:val="8"/>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40"/>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0B4"/>
    <w:rsid w:val="00034616"/>
    <w:rsid w:val="000438BA"/>
    <w:rsid w:val="000453E4"/>
    <w:rsid w:val="0006063C"/>
    <w:rsid w:val="00067790"/>
    <w:rsid w:val="00080625"/>
    <w:rsid w:val="00084B59"/>
    <w:rsid w:val="000857A1"/>
    <w:rsid w:val="000953A0"/>
    <w:rsid w:val="000A25E8"/>
    <w:rsid w:val="000D35A5"/>
    <w:rsid w:val="00140FAD"/>
    <w:rsid w:val="0015074B"/>
    <w:rsid w:val="00154207"/>
    <w:rsid w:val="00154EE0"/>
    <w:rsid w:val="001677EB"/>
    <w:rsid w:val="001701B3"/>
    <w:rsid w:val="00180351"/>
    <w:rsid w:val="00186722"/>
    <w:rsid w:val="00197D63"/>
    <w:rsid w:val="001E77E5"/>
    <w:rsid w:val="001E78D5"/>
    <w:rsid w:val="00215039"/>
    <w:rsid w:val="00216A66"/>
    <w:rsid w:val="00224AFA"/>
    <w:rsid w:val="002328D0"/>
    <w:rsid w:val="0024288E"/>
    <w:rsid w:val="0026111E"/>
    <w:rsid w:val="0026510F"/>
    <w:rsid w:val="002656A8"/>
    <w:rsid w:val="0029397F"/>
    <w:rsid w:val="0029639D"/>
    <w:rsid w:val="002E2B1B"/>
    <w:rsid w:val="002E32F7"/>
    <w:rsid w:val="00326F90"/>
    <w:rsid w:val="00375D2B"/>
    <w:rsid w:val="0037662E"/>
    <w:rsid w:val="003E07DF"/>
    <w:rsid w:val="004A1A5C"/>
    <w:rsid w:val="004E7559"/>
    <w:rsid w:val="004F08A9"/>
    <w:rsid w:val="005B4125"/>
    <w:rsid w:val="005C3861"/>
    <w:rsid w:val="005E2FD4"/>
    <w:rsid w:val="00611014"/>
    <w:rsid w:val="00636912"/>
    <w:rsid w:val="006630B4"/>
    <w:rsid w:val="00663BBD"/>
    <w:rsid w:val="006932E8"/>
    <w:rsid w:val="006959FF"/>
    <w:rsid w:val="006E5FB0"/>
    <w:rsid w:val="00714EAC"/>
    <w:rsid w:val="00715028"/>
    <w:rsid w:val="00722EF8"/>
    <w:rsid w:val="0073196E"/>
    <w:rsid w:val="007441BC"/>
    <w:rsid w:val="007C2CA0"/>
    <w:rsid w:val="007C4DC6"/>
    <w:rsid w:val="00804B18"/>
    <w:rsid w:val="0082188D"/>
    <w:rsid w:val="00851957"/>
    <w:rsid w:val="008535D2"/>
    <w:rsid w:val="008F332C"/>
    <w:rsid w:val="00904B1A"/>
    <w:rsid w:val="00922904"/>
    <w:rsid w:val="00943725"/>
    <w:rsid w:val="00974744"/>
    <w:rsid w:val="00990E97"/>
    <w:rsid w:val="009A02E4"/>
    <w:rsid w:val="009C7656"/>
    <w:rsid w:val="00A57B9E"/>
    <w:rsid w:val="00A7744D"/>
    <w:rsid w:val="00AA1D8D"/>
    <w:rsid w:val="00AE3CC5"/>
    <w:rsid w:val="00B14657"/>
    <w:rsid w:val="00B2166E"/>
    <w:rsid w:val="00B31005"/>
    <w:rsid w:val="00B46680"/>
    <w:rsid w:val="00B47730"/>
    <w:rsid w:val="00B7199C"/>
    <w:rsid w:val="00BA2E41"/>
    <w:rsid w:val="00BB5D32"/>
    <w:rsid w:val="00C02814"/>
    <w:rsid w:val="00C17C7D"/>
    <w:rsid w:val="00C74B6B"/>
    <w:rsid w:val="00CA1EB2"/>
    <w:rsid w:val="00CB0664"/>
    <w:rsid w:val="00CC4F8B"/>
    <w:rsid w:val="00D358CA"/>
    <w:rsid w:val="00D719EC"/>
    <w:rsid w:val="00DA311F"/>
    <w:rsid w:val="00DD207D"/>
    <w:rsid w:val="00E857D7"/>
    <w:rsid w:val="00EC64BA"/>
    <w:rsid w:val="00EE6D94"/>
    <w:rsid w:val="00EF31D3"/>
    <w:rsid w:val="00F43285"/>
    <w:rsid w:val="00F51A1D"/>
    <w:rsid w:val="00F62B88"/>
    <w:rsid w:val="00F93E11"/>
    <w:rsid w:val="00F9480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062061"/>
  <w14:defaultImageDpi w14:val="300"/>
  <w15:docId w15:val="{110BE8B4-ACF1-46B2-B2B2-1F57803C2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9"/>
      </w:numPr>
      <w:contextualSpacing/>
    </w:pPr>
  </w:style>
  <w:style w:type="paragraph" w:styleId="ListBullet2">
    <w:name w:val="List Bullet 2"/>
    <w:basedOn w:val="Normal"/>
    <w:uiPriority w:val="99"/>
    <w:unhideWhenUsed/>
    <w:rsid w:val="00326F90"/>
    <w:pPr>
      <w:numPr>
        <w:numId w:val="6"/>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7"/>
      </w:numPr>
      <w:contextualSpacing/>
    </w:pPr>
  </w:style>
  <w:style w:type="paragraph" w:styleId="ListNumber3">
    <w:name w:val="List Number 3"/>
    <w:basedOn w:val="Normal"/>
    <w:uiPriority w:val="99"/>
    <w:unhideWhenUsed/>
    <w:rsid w:val="0029639D"/>
    <w:pPr>
      <w:numPr>
        <w:numId w:val="2"/>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974744"/>
    <w:rPr>
      <w:sz w:val="16"/>
      <w:szCs w:val="16"/>
    </w:rPr>
  </w:style>
  <w:style w:type="paragraph" w:styleId="CommentText">
    <w:name w:val="annotation text"/>
    <w:basedOn w:val="Normal"/>
    <w:link w:val="CommentTextChar"/>
    <w:uiPriority w:val="99"/>
    <w:unhideWhenUsed/>
    <w:rsid w:val="00974744"/>
    <w:pPr>
      <w:spacing w:line="240" w:lineRule="auto"/>
    </w:pPr>
    <w:rPr>
      <w:sz w:val="20"/>
      <w:szCs w:val="20"/>
    </w:rPr>
  </w:style>
  <w:style w:type="character" w:customStyle="1" w:styleId="CommentTextChar">
    <w:name w:val="Comment Text Char"/>
    <w:basedOn w:val="DefaultParagraphFont"/>
    <w:link w:val="CommentText"/>
    <w:uiPriority w:val="99"/>
    <w:rsid w:val="00974744"/>
    <w:rPr>
      <w:rFonts w:ascii="Aptos" w:hAnsi="Aptos"/>
      <w:sz w:val="20"/>
      <w:szCs w:val="20"/>
    </w:rPr>
  </w:style>
  <w:style w:type="paragraph" w:styleId="CommentSubject">
    <w:name w:val="annotation subject"/>
    <w:basedOn w:val="CommentText"/>
    <w:next w:val="CommentText"/>
    <w:link w:val="CommentSubjectChar"/>
    <w:uiPriority w:val="99"/>
    <w:semiHidden/>
    <w:unhideWhenUsed/>
    <w:rsid w:val="00974744"/>
    <w:rPr>
      <w:b/>
      <w:bCs/>
    </w:rPr>
  </w:style>
  <w:style w:type="character" w:customStyle="1" w:styleId="CommentSubjectChar">
    <w:name w:val="Comment Subject Char"/>
    <w:basedOn w:val="CommentTextChar"/>
    <w:link w:val="CommentSubject"/>
    <w:uiPriority w:val="99"/>
    <w:semiHidden/>
    <w:rsid w:val="00974744"/>
    <w:rPr>
      <w:rFonts w:ascii="Aptos" w:hAnsi="Aptos"/>
      <w:b/>
      <w:bCs/>
      <w:sz w:val="20"/>
      <w:szCs w:val="20"/>
    </w:rPr>
  </w:style>
  <w:style w:type="paragraph" w:styleId="Revision">
    <w:name w:val="Revision"/>
    <w:hidden/>
    <w:uiPriority w:val="99"/>
    <w:semiHidden/>
    <w:rsid w:val="00722EF8"/>
    <w:pPr>
      <w:spacing w:after="0" w:line="240" w:lineRule="auto"/>
    </w:pPr>
    <w:rPr>
      <w:rFonts w:ascii="Aptos" w:hAnsi="Apto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2727</Words>
  <Characters>15550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18241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Douglas Ragan</cp:lastModifiedBy>
  <cp:revision>2</cp:revision>
  <dcterms:created xsi:type="dcterms:W3CDTF">2026-06-18T19:51:00Z</dcterms:created>
  <dcterms:modified xsi:type="dcterms:W3CDTF">2026-06-18T19:51:00Z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908567ea-ea33-4eb0-919c-16b29280c6f6</vt:lpwstr>
  </property>
</Properties>
</file>